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25B9E">
      <w:pPr>
        <w:pStyle w:val="4"/>
        <w:rPr>
          <w:rFonts w:hint="eastAsia" w:ascii="微软雅黑" w:hAnsi="微软雅黑" w:cs="微软雅黑"/>
          <w:lang w:val="en-US" w:eastAsia="zh-CN"/>
        </w:rPr>
      </w:pPr>
      <w:r>
        <w:rPr>
          <w:rFonts w:hint="eastAsia" w:ascii="微软雅黑" w:hAnsi="微软雅黑" w:cs="微软雅黑"/>
          <w:lang w:val="en-US" w:eastAsia="zh-CN"/>
        </w:rPr>
        <w:t>评审办法和成交原则</w:t>
      </w:r>
    </w:p>
    <w:p w14:paraId="7704FDF8">
      <w:pPr>
        <w:spacing w:line="440" w:lineRule="exact"/>
        <w:ind w:firstLine="420" w:firstLineChars="200"/>
        <w:rPr>
          <w:rFonts w:hint="eastAsia" w:ascii="微软雅黑" w:hAnsi="微软雅黑" w:cs="微软雅黑"/>
          <w:lang w:eastAsia="zh-CN"/>
        </w:rPr>
      </w:pPr>
      <w:r>
        <w:rPr>
          <w:rFonts w:hint="eastAsia" w:ascii="微软雅黑" w:hAnsi="微软雅黑" w:cs="微软雅黑"/>
        </w:rPr>
        <w:t>本项目采用综合评分法，总分为100分，评审结果按评审后得分由高到低顺序排列。得分相同的，按响应报价由低到高顺序排列。</w:t>
      </w:r>
      <w:r>
        <w:rPr>
          <w:rFonts w:hint="eastAsia" w:ascii="微软雅黑" w:hAnsi="微软雅黑" w:cs="微软雅黑"/>
          <w:lang w:val="en-US" w:eastAsia="zh-CN"/>
        </w:rPr>
        <w:t>比选</w:t>
      </w:r>
      <w:r>
        <w:rPr>
          <w:rFonts w:hint="eastAsia" w:ascii="微软雅黑" w:hAnsi="微软雅黑" w:cs="微软雅黑"/>
        </w:rPr>
        <w:t>小组</w:t>
      </w:r>
      <w:r>
        <w:rPr>
          <w:rFonts w:hint="eastAsia" w:ascii="微软雅黑" w:hAnsi="微软雅黑" w:cs="微软雅黑"/>
          <w:lang w:val="en-US" w:eastAsia="zh-CN"/>
        </w:rPr>
        <w:t>从</w:t>
      </w:r>
      <w:r>
        <w:rPr>
          <w:rFonts w:hint="eastAsia" w:ascii="微软雅黑" w:hAnsi="微软雅黑" w:cs="微软雅黑"/>
        </w:rPr>
        <w:t>响应文件满足采购文件全部实质性要求</w:t>
      </w:r>
      <w:r>
        <w:rPr>
          <w:rFonts w:hint="eastAsia" w:ascii="微软雅黑" w:hAnsi="微软雅黑" w:cs="微软雅黑"/>
          <w:lang w:val="en-US" w:eastAsia="zh-CN"/>
        </w:rPr>
        <w:t>的</w:t>
      </w:r>
      <w:r>
        <w:rPr>
          <w:rFonts w:hint="eastAsia" w:ascii="微软雅黑" w:hAnsi="微软雅黑" w:cs="微软雅黑"/>
        </w:rPr>
        <w:t>供应商</w:t>
      </w:r>
      <w:r>
        <w:rPr>
          <w:rFonts w:hint="eastAsia" w:ascii="微软雅黑" w:hAnsi="微软雅黑" w:cs="微软雅黑"/>
          <w:lang w:val="en-US" w:eastAsia="zh-CN"/>
        </w:rPr>
        <w:t>中</w:t>
      </w:r>
      <w:r>
        <w:rPr>
          <w:rFonts w:hint="eastAsia" w:ascii="微软雅黑" w:hAnsi="微软雅黑" w:cs="微软雅黑"/>
        </w:rPr>
        <w:t>，按照评审得分由高到低确定</w:t>
      </w:r>
      <w:r>
        <w:rPr>
          <w:rFonts w:hint="eastAsia" w:ascii="微软雅黑" w:hAnsi="微软雅黑" w:cs="微软雅黑"/>
          <w:lang w:val="en-US" w:eastAsia="zh-CN"/>
        </w:rPr>
        <w:t>1</w:t>
      </w:r>
      <w:r>
        <w:rPr>
          <w:rFonts w:hint="eastAsia" w:ascii="微软雅黑" w:hAnsi="微软雅黑" w:cs="微软雅黑"/>
        </w:rPr>
        <w:t>名响应供应商为成交人。</w:t>
      </w:r>
      <w:r>
        <w:rPr>
          <w:rFonts w:hint="eastAsia" w:ascii="微软雅黑" w:hAnsi="微软雅黑" w:cs="微软雅黑"/>
          <w:lang w:val="en-US" w:eastAsia="zh-CN"/>
        </w:rPr>
        <w:t>比选</w:t>
      </w:r>
      <w:r>
        <w:rPr>
          <w:rFonts w:hint="eastAsia" w:ascii="微软雅黑" w:hAnsi="微软雅黑" w:cs="微软雅黑"/>
        </w:rPr>
        <w:t>小组认为响应供应商的报价明显低于其他通过符合性审查响应供应商的报价，有可能影响服务质量或者不能诚信履约的，</w:t>
      </w:r>
      <w:r>
        <w:rPr>
          <w:rFonts w:hint="eastAsia" w:ascii="微软雅黑" w:hAnsi="微软雅黑" w:cs="微软雅黑"/>
          <w:lang w:val="en-US" w:eastAsia="zh-CN"/>
        </w:rPr>
        <w:t>比选</w:t>
      </w:r>
      <w:r>
        <w:rPr>
          <w:rFonts w:hint="eastAsia" w:ascii="微软雅黑" w:hAnsi="微软雅黑" w:cs="微软雅黑"/>
        </w:rPr>
        <w:t>小组有权要求其在</w:t>
      </w:r>
      <w:r>
        <w:rPr>
          <w:rFonts w:hint="eastAsia" w:ascii="微软雅黑" w:hAnsi="微软雅黑" w:cs="微软雅黑"/>
          <w:lang w:val="en-US" w:eastAsia="zh-CN"/>
        </w:rPr>
        <w:t>比选</w:t>
      </w:r>
      <w:r>
        <w:rPr>
          <w:rFonts w:hint="eastAsia" w:ascii="微软雅黑" w:hAnsi="微软雅黑" w:cs="微软雅黑"/>
        </w:rPr>
        <w:t>现场合理的时间内提供书面说明，必要时提交相关证明材料</w:t>
      </w:r>
      <w:r>
        <w:rPr>
          <w:rFonts w:hint="eastAsia" w:ascii="微软雅黑" w:hAnsi="微软雅黑" w:cs="微软雅黑"/>
          <w:lang w:eastAsia="zh-CN"/>
        </w:rPr>
        <w:t>，</w:t>
      </w:r>
      <w:r>
        <w:rPr>
          <w:rFonts w:hint="eastAsia" w:ascii="微软雅黑" w:hAnsi="微软雅黑" w:cs="微软雅黑"/>
        </w:rPr>
        <w:t>响应供应商不能证明其报价合理性的，</w:t>
      </w:r>
      <w:r>
        <w:rPr>
          <w:rFonts w:hint="eastAsia" w:ascii="微软雅黑" w:hAnsi="微软雅黑" w:cs="微软雅黑"/>
          <w:lang w:val="en-US" w:eastAsia="zh-CN"/>
        </w:rPr>
        <w:t>比选</w:t>
      </w:r>
      <w:r>
        <w:rPr>
          <w:rFonts w:hint="eastAsia" w:ascii="微软雅黑" w:hAnsi="微软雅黑" w:cs="微软雅黑"/>
        </w:rPr>
        <w:t>小组将其作为无效响应处理。对未中标人，采购人将不作任何解释</w:t>
      </w:r>
      <w:r>
        <w:rPr>
          <w:rFonts w:hint="eastAsia" w:ascii="微软雅黑" w:hAnsi="微软雅黑" w:cs="微软雅黑"/>
          <w:lang w:eastAsia="zh-CN"/>
        </w:rPr>
        <w:t>，供应商提交的材料不予退还。</w:t>
      </w:r>
    </w:p>
    <w:p w14:paraId="40353F55">
      <w:pPr>
        <w:pStyle w:val="2"/>
        <w:rPr>
          <w:rFonts w:hint="eastAsia"/>
        </w:rPr>
      </w:pPr>
    </w:p>
    <w:p w14:paraId="74A3D758">
      <w:pPr>
        <w:spacing w:line="400" w:lineRule="exact"/>
        <w:ind w:firstLine="560" w:firstLineChars="200"/>
        <w:jc w:val="center"/>
        <w:rPr>
          <w:rFonts w:hint="eastAsia" w:ascii="微软雅黑" w:hAnsi="微软雅黑" w:cs="微软雅黑"/>
          <w:sz w:val="24"/>
          <w:szCs w:val="24"/>
        </w:rPr>
      </w:pPr>
      <w:r>
        <w:rPr>
          <w:rFonts w:hint="eastAsia" w:ascii="微软雅黑" w:hAnsi="微软雅黑" w:cs="微软雅黑"/>
          <w:b/>
          <w:bCs/>
          <w:kern w:val="0"/>
          <w:sz w:val="28"/>
          <w:szCs w:val="28"/>
          <w:lang w:val="zh-CN"/>
        </w:rPr>
        <w:t>评</w:t>
      </w:r>
      <w:r>
        <w:rPr>
          <w:rFonts w:hint="eastAsia" w:ascii="微软雅黑" w:hAnsi="微软雅黑" w:cs="微软雅黑"/>
          <w:b/>
          <w:bCs/>
          <w:kern w:val="0"/>
          <w:sz w:val="28"/>
          <w:szCs w:val="28"/>
        </w:rPr>
        <w:t>审</w:t>
      </w:r>
      <w:r>
        <w:rPr>
          <w:rFonts w:hint="eastAsia" w:ascii="微软雅黑" w:hAnsi="微软雅黑" w:cs="微软雅黑"/>
          <w:b/>
          <w:bCs/>
          <w:kern w:val="0"/>
          <w:sz w:val="28"/>
          <w:szCs w:val="28"/>
          <w:lang w:val="zh-CN"/>
        </w:rPr>
        <w:t>细则</w:t>
      </w:r>
    </w:p>
    <w:p w14:paraId="1CDBA9C2">
      <w:pPr>
        <w:spacing w:line="440" w:lineRule="exact"/>
        <w:rPr>
          <w:rFonts w:hint="eastAsia" w:ascii="微软雅黑" w:hAnsi="微软雅黑" w:cs="微软雅黑"/>
          <w:b/>
          <w:bCs/>
        </w:rPr>
      </w:pPr>
      <w:r>
        <w:rPr>
          <w:rFonts w:hint="eastAsia" w:ascii="微软雅黑" w:hAnsi="微软雅黑" w:cs="微软雅黑"/>
          <w:b/>
          <w:bCs/>
        </w:rPr>
        <w:t>（一）资格性审查</w:t>
      </w:r>
      <w:r>
        <w:rPr>
          <w:rFonts w:hint="eastAsia" w:ascii="微软雅黑" w:hAnsi="微软雅黑" w:cs="微软雅黑"/>
          <w:b/>
          <w:bCs/>
          <w:lang w:val="zh-CN"/>
        </w:rPr>
        <w:t>（通过/未通过）</w:t>
      </w:r>
      <w:r>
        <w:rPr>
          <w:rFonts w:hint="eastAsia" w:ascii="微软雅黑" w:hAnsi="微软雅黑" w:cs="微软雅黑"/>
          <w:b/>
          <w:bCs/>
        </w:rPr>
        <w:t>：</w:t>
      </w:r>
    </w:p>
    <w:tbl>
      <w:tblPr>
        <w:tblStyle w:val="7"/>
        <w:tblW w:w="8647" w:type="dxa"/>
        <w:jc w:val="center"/>
        <w:tblLayout w:type="fixed"/>
        <w:tblCellMar>
          <w:top w:w="0" w:type="dxa"/>
          <w:left w:w="108" w:type="dxa"/>
          <w:bottom w:w="0" w:type="dxa"/>
          <w:right w:w="108" w:type="dxa"/>
        </w:tblCellMar>
      </w:tblPr>
      <w:tblGrid>
        <w:gridCol w:w="1312"/>
        <w:gridCol w:w="4441"/>
        <w:gridCol w:w="1451"/>
        <w:gridCol w:w="1443"/>
      </w:tblGrid>
      <w:tr w14:paraId="10BED01D">
        <w:tblPrEx>
          <w:tblCellMar>
            <w:top w:w="0" w:type="dxa"/>
            <w:left w:w="108" w:type="dxa"/>
            <w:bottom w:w="0" w:type="dxa"/>
            <w:right w:w="108" w:type="dxa"/>
          </w:tblCellMar>
        </w:tblPrEx>
        <w:trPr>
          <w:trHeight w:val="1" w:hRule="atLeast"/>
          <w:jc w:val="center"/>
        </w:trPr>
        <w:tc>
          <w:tcPr>
            <w:tcW w:w="131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3B04E2E">
            <w:pPr>
              <w:spacing w:line="440" w:lineRule="exact"/>
              <w:jc w:val="center"/>
              <w:rPr>
                <w:rFonts w:hint="eastAsia" w:ascii="微软雅黑" w:hAnsi="微软雅黑" w:cs="微软雅黑"/>
                <w:b/>
                <w:bCs/>
                <w:lang w:val="zh-CN"/>
              </w:rPr>
            </w:pPr>
            <w:r>
              <w:rPr>
                <w:rFonts w:hint="eastAsia" w:ascii="微软雅黑" w:hAnsi="微软雅黑" w:cs="微软雅黑"/>
                <w:b/>
                <w:bCs/>
                <w:lang w:val="zh-CN"/>
              </w:rPr>
              <w:t>序号</w:t>
            </w:r>
          </w:p>
        </w:tc>
        <w:tc>
          <w:tcPr>
            <w:tcW w:w="444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6F1808D">
            <w:pPr>
              <w:spacing w:line="440" w:lineRule="exact"/>
              <w:jc w:val="center"/>
              <w:rPr>
                <w:rFonts w:hint="eastAsia" w:ascii="微软雅黑" w:hAnsi="微软雅黑" w:cs="微软雅黑"/>
                <w:b/>
                <w:bCs/>
                <w:lang w:val="zh-CN"/>
              </w:rPr>
            </w:pPr>
            <w:r>
              <w:rPr>
                <w:rFonts w:hint="eastAsia" w:ascii="微软雅黑" w:hAnsi="微软雅黑" w:cs="微软雅黑"/>
                <w:b/>
                <w:bCs/>
                <w:lang w:val="zh-CN"/>
              </w:rPr>
              <w:t>评定标准</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212C90C">
            <w:pPr>
              <w:spacing w:line="440" w:lineRule="exact"/>
              <w:jc w:val="center"/>
              <w:rPr>
                <w:rFonts w:hint="eastAsia" w:ascii="微软雅黑" w:hAnsi="微软雅黑" w:cs="微软雅黑"/>
                <w:b/>
                <w:bCs/>
                <w:lang w:val="zh-CN"/>
              </w:rPr>
            </w:pPr>
            <w:r>
              <w:rPr>
                <w:rFonts w:hint="eastAsia" w:ascii="微软雅黑" w:hAnsi="微软雅黑" w:cs="微软雅黑"/>
                <w:b/>
                <w:bCs/>
                <w:lang w:val="zh-CN"/>
              </w:rPr>
              <w:t>通过√</w:t>
            </w:r>
          </w:p>
        </w:tc>
        <w:tc>
          <w:tcPr>
            <w:tcW w:w="144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91F5A35">
            <w:pPr>
              <w:spacing w:line="440" w:lineRule="exact"/>
              <w:jc w:val="center"/>
              <w:rPr>
                <w:rFonts w:hint="eastAsia" w:ascii="微软雅黑" w:hAnsi="微软雅黑" w:cs="微软雅黑"/>
                <w:b/>
                <w:bCs/>
                <w:lang w:val="zh-CN"/>
              </w:rPr>
            </w:pPr>
            <w:r>
              <w:rPr>
                <w:rFonts w:hint="eastAsia" w:ascii="微软雅黑" w:hAnsi="微软雅黑" w:cs="微软雅黑"/>
                <w:b/>
                <w:bCs/>
                <w:lang w:val="zh-CN"/>
              </w:rPr>
              <w:t>未通过X</w:t>
            </w:r>
          </w:p>
        </w:tc>
      </w:tr>
      <w:tr w14:paraId="31B8957F">
        <w:tblPrEx>
          <w:tblCellMar>
            <w:top w:w="0" w:type="dxa"/>
            <w:left w:w="108" w:type="dxa"/>
            <w:bottom w:w="0" w:type="dxa"/>
            <w:right w:w="108" w:type="dxa"/>
          </w:tblCellMar>
        </w:tblPrEx>
        <w:trPr>
          <w:trHeight w:val="1" w:hRule="atLeast"/>
          <w:jc w:val="center"/>
        </w:trPr>
        <w:tc>
          <w:tcPr>
            <w:tcW w:w="131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5278CE2">
            <w:pPr>
              <w:spacing w:line="440" w:lineRule="exact"/>
              <w:jc w:val="center"/>
              <w:rPr>
                <w:rFonts w:hint="eastAsia" w:ascii="微软雅黑" w:hAnsi="微软雅黑" w:cs="微软雅黑"/>
                <w:lang w:val="zh-CN"/>
              </w:rPr>
            </w:pPr>
            <w:r>
              <w:rPr>
                <w:rFonts w:hint="eastAsia" w:ascii="微软雅黑" w:hAnsi="微软雅黑" w:cs="微软雅黑"/>
                <w:lang w:val="zh-CN"/>
              </w:rPr>
              <w:t>1</w:t>
            </w:r>
          </w:p>
        </w:tc>
        <w:tc>
          <w:tcPr>
            <w:tcW w:w="444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BF2B268">
            <w:pPr>
              <w:spacing w:line="440" w:lineRule="exact"/>
              <w:rPr>
                <w:rFonts w:hint="eastAsia" w:ascii="微软雅黑" w:hAnsi="微软雅黑" w:cs="微软雅黑"/>
                <w:lang w:val="zh-CN"/>
              </w:rPr>
            </w:pPr>
            <w:r>
              <w:rPr>
                <w:rFonts w:hint="eastAsia" w:ascii="微软雅黑" w:hAnsi="微软雅黑" w:cs="微软雅黑"/>
                <w:lang w:val="en-US" w:eastAsia="zh-CN"/>
              </w:rPr>
              <w:t>供应商</w:t>
            </w:r>
            <w:r>
              <w:rPr>
                <w:rFonts w:hint="eastAsia" w:ascii="微软雅黑" w:hAnsi="微软雅黑" w:cs="微软雅黑"/>
                <w:lang w:val="zh-CN"/>
              </w:rPr>
              <w:t>资格证明文</w:t>
            </w:r>
            <w:r>
              <w:rPr>
                <w:rFonts w:hint="eastAsia" w:ascii="微软雅黑" w:hAnsi="微软雅黑" w:cs="微软雅黑"/>
                <w:lang w:val="zh-CN" w:eastAsia="zh-CN"/>
              </w:rPr>
              <w:t>件（</w:t>
            </w:r>
            <w:r>
              <w:rPr>
                <w:rFonts w:hint="eastAsia" w:ascii="微软雅黑" w:hAnsi="微软雅黑" w:cs="微软雅黑"/>
                <w:lang w:val="en-US" w:eastAsia="zh-CN"/>
              </w:rPr>
              <w:t>见采购询价公告</w:t>
            </w:r>
            <w:r>
              <w:rPr>
                <w:rFonts w:hint="eastAsia" w:ascii="微软雅黑" w:hAnsi="微软雅黑" w:cs="微软雅黑"/>
                <w:lang w:val="zh-CN" w:eastAsia="zh-CN"/>
              </w:rPr>
              <w:t>）</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DED3DD6">
            <w:pPr>
              <w:spacing w:line="440" w:lineRule="exact"/>
              <w:rPr>
                <w:rFonts w:hint="eastAsia" w:ascii="微软雅黑" w:hAnsi="微软雅黑" w:cs="微软雅黑"/>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6971723">
            <w:pPr>
              <w:spacing w:line="440" w:lineRule="exact"/>
              <w:rPr>
                <w:rFonts w:hint="eastAsia" w:ascii="微软雅黑" w:hAnsi="微软雅黑" w:cs="微软雅黑"/>
                <w:lang w:val="zh-CN"/>
              </w:rPr>
            </w:pPr>
          </w:p>
        </w:tc>
      </w:tr>
      <w:tr w14:paraId="6F0BDEC6">
        <w:tblPrEx>
          <w:tblCellMar>
            <w:top w:w="0" w:type="dxa"/>
            <w:left w:w="108" w:type="dxa"/>
            <w:bottom w:w="0" w:type="dxa"/>
            <w:right w:w="108" w:type="dxa"/>
          </w:tblCellMar>
        </w:tblPrEx>
        <w:trPr>
          <w:trHeight w:val="1" w:hRule="atLeast"/>
          <w:jc w:val="center"/>
        </w:trPr>
        <w:tc>
          <w:tcPr>
            <w:tcW w:w="131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F537926">
            <w:pPr>
              <w:spacing w:line="440" w:lineRule="exact"/>
              <w:jc w:val="center"/>
              <w:rPr>
                <w:rFonts w:hint="eastAsia" w:ascii="微软雅黑" w:hAnsi="微软雅黑" w:cs="微软雅黑"/>
                <w:lang w:val="zh-CN"/>
              </w:rPr>
            </w:pPr>
            <w:r>
              <w:rPr>
                <w:rFonts w:hint="eastAsia" w:ascii="微软雅黑" w:hAnsi="微软雅黑" w:cs="微软雅黑"/>
              </w:rPr>
              <w:t>2</w:t>
            </w:r>
          </w:p>
        </w:tc>
        <w:tc>
          <w:tcPr>
            <w:tcW w:w="444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959FC8F">
            <w:pPr>
              <w:spacing w:line="440" w:lineRule="exact"/>
              <w:rPr>
                <w:rFonts w:hint="eastAsia" w:ascii="微软雅黑" w:hAnsi="微软雅黑" w:cs="微软雅黑"/>
                <w:lang w:val="zh-CN"/>
              </w:rPr>
            </w:pPr>
            <w:r>
              <w:rPr>
                <w:rFonts w:hint="eastAsia" w:ascii="微软雅黑" w:hAnsi="微软雅黑" w:cs="微软雅黑"/>
                <w:lang w:val="zh-CN"/>
              </w:rPr>
              <w:t>法定代表人授权书盖章原件</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5FA5632">
            <w:pPr>
              <w:spacing w:line="440" w:lineRule="exact"/>
              <w:rPr>
                <w:rFonts w:hint="eastAsia" w:ascii="微软雅黑" w:hAnsi="微软雅黑" w:cs="微软雅黑"/>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F6991CA">
            <w:pPr>
              <w:spacing w:line="440" w:lineRule="exact"/>
              <w:rPr>
                <w:rFonts w:hint="eastAsia" w:ascii="微软雅黑" w:hAnsi="微软雅黑" w:cs="微软雅黑"/>
                <w:lang w:val="zh-CN"/>
              </w:rPr>
            </w:pPr>
          </w:p>
        </w:tc>
      </w:tr>
      <w:tr w14:paraId="2F046F6B">
        <w:tblPrEx>
          <w:tblCellMar>
            <w:top w:w="0" w:type="dxa"/>
            <w:left w:w="108" w:type="dxa"/>
            <w:bottom w:w="0" w:type="dxa"/>
            <w:right w:w="108" w:type="dxa"/>
          </w:tblCellMar>
        </w:tblPrEx>
        <w:trPr>
          <w:trHeight w:val="90" w:hRule="atLeast"/>
          <w:jc w:val="center"/>
        </w:trPr>
        <w:tc>
          <w:tcPr>
            <w:tcW w:w="131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AA53660">
            <w:pPr>
              <w:spacing w:line="440" w:lineRule="exact"/>
              <w:jc w:val="center"/>
              <w:rPr>
                <w:rFonts w:hint="eastAsia" w:ascii="微软雅黑" w:hAnsi="微软雅黑" w:cs="微软雅黑"/>
                <w:lang w:val="zh-CN"/>
              </w:rPr>
            </w:pPr>
            <w:r>
              <w:rPr>
                <w:rFonts w:hint="eastAsia" w:ascii="微软雅黑" w:hAnsi="微软雅黑" w:cs="微软雅黑"/>
              </w:rPr>
              <w:t>3</w:t>
            </w:r>
          </w:p>
        </w:tc>
        <w:tc>
          <w:tcPr>
            <w:tcW w:w="444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4D11B68">
            <w:pPr>
              <w:spacing w:line="440" w:lineRule="exact"/>
              <w:rPr>
                <w:rFonts w:hint="default" w:ascii="微软雅黑" w:hAnsi="微软雅黑" w:eastAsia="微软雅黑" w:cs="微软雅黑"/>
                <w:lang w:val="en-US" w:eastAsia="zh-CN"/>
              </w:rPr>
            </w:pPr>
            <w:r>
              <w:rPr>
                <w:rFonts w:hint="eastAsia" w:ascii="微软雅黑" w:hAnsi="微软雅黑" w:cs="微软雅黑"/>
                <w:lang w:val="zh-CN"/>
              </w:rPr>
              <w:t>响应文件</w:t>
            </w:r>
            <w:r>
              <w:rPr>
                <w:rFonts w:hint="eastAsia" w:ascii="微软雅黑" w:hAnsi="微软雅黑" w:cs="微软雅黑"/>
                <w:lang w:val="en-US" w:eastAsia="zh-CN"/>
              </w:rPr>
              <w:t>的真实性</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9020F9E">
            <w:pPr>
              <w:spacing w:line="440" w:lineRule="exact"/>
              <w:rPr>
                <w:rFonts w:hint="eastAsia" w:ascii="微软雅黑" w:hAnsi="微软雅黑" w:cs="微软雅黑"/>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09F4210">
            <w:pPr>
              <w:spacing w:line="440" w:lineRule="exact"/>
              <w:rPr>
                <w:rFonts w:hint="eastAsia" w:ascii="微软雅黑" w:hAnsi="微软雅黑" w:cs="微软雅黑"/>
                <w:lang w:val="zh-CN"/>
              </w:rPr>
            </w:pPr>
          </w:p>
        </w:tc>
      </w:tr>
      <w:tr w14:paraId="311A8EF2">
        <w:tblPrEx>
          <w:tblCellMar>
            <w:top w:w="0" w:type="dxa"/>
            <w:left w:w="108" w:type="dxa"/>
            <w:bottom w:w="0" w:type="dxa"/>
            <w:right w:w="108" w:type="dxa"/>
          </w:tblCellMar>
        </w:tblPrEx>
        <w:trPr>
          <w:trHeight w:val="1" w:hRule="atLeast"/>
          <w:jc w:val="center"/>
        </w:trPr>
        <w:tc>
          <w:tcPr>
            <w:tcW w:w="131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9B71486">
            <w:pPr>
              <w:spacing w:line="440" w:lineRule="exact"/>
              <w:jc w:val="center"/>
              <w:rPr>
                <w:rFonts w:hint="eastAsia" w:ascii="微软雅黑" w:hAnsi="微软雅黑" w:eastAsia="微软雅黑" w:cs="微软雅黑"/>
                <w:lang w:val="en-US" w:eastAsia="zh-CN"/>
              </w:rPr>
            </w:pPr>
            <w:r>
              <w:rPr>
                <w:rFonts w:hint="eastAsia" w:ascii="微软雅黑" w:hAnsi="微软雅黑" w:cs="微软雅黑"/>
                <w:lang w:val="en-US" w:eastAsia="zh-CN"/>
              </w:rPr>
              <w:t>4</w:t>
            </w:r>
          </w:p>
        </w:tc>
        <w:tc>
          <w:tcPr>
            <w:tcW w:w="444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BA640A0">
            <w:pPr>
              <w:spacing w:line="440" w:lineRule="exact"/>
              <w:rPr>
                <w:rFonts w:hint="eastAsia" w:ascii="微软雅黑" w:hAnsi="微软雅黑" w:cs="微软雅黑"/>
              </w:rPr>
            </w:pPr>
            <w:r>
              <w:rPr>
                <w:rFonts w:hint="eastAsia" w:ascii="微软雅黑" w:hAnsi="微软雅黑" w:cs="微软雅黑"/>
                <w:lang w:val="zh-CN"/>
              </w:rPr>
              <w:t>响应文件的有效性（</w:t>
            </w:r>
            <w:r>
              <w:rPr>
                <w:rFonts w:hint="eastAsia" w:ascii="微软雅黑" w:hAnsi="微软雅黑" w:cs="微软雅黑"/>
              </w:rPr>
              <w:t>是否签字盖章）</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ED7F63E">
            <w:pPr>
              <w:spacing w:line="440" w:lineRule="exact"/>
              <w:rPr>
                <w:rFonts w:hint="eastAsia" w:ascii="微软雅黑" w:hAnsi="微软雅黑" w:cs="微软雅黑"/>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EF1A252">
            <w:pPr>
              <w:spacing w:line="440" w:lineRule="exact"/>
              <w:rPr>
                <w:rFonts w:hint="eastAsia" w:ascii="微软雅黑" w:hAnsi="微软雅黑" w:cs="微软雅黑"/>
                <w:lang w:val="zh-CN"/>
              </w:rPr>
            </w:pPr>
          </w:p>
        </w:tc>
      </w:tr>
      <w:tr w14:paraId="20FA3E14">
        <w:tblPrEx>
          <w:tblCellMar>
            <w:top w:w="0" w:type="dxa"/>
            <w:left w:w="108" w:type="dxa"/>
            <w:bottom w:w="0" w:type="dxa"/>
            <w:right w:w="108" w:type="dxa"/>
          </w:tblCellMar>
        </w:tblPrEx>
        <w:trPr>
          <w:trHeight w:val="1" w:hRule="atLeast"/>
          <w:jc w:val="center"/>
        </w:trPr>
        <w:tc>
          <w:tcPr>
            <w:tcW w:w="131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5AD47EB7">
            <w:pPr>
              <w:spacing w:line="440" w:lineRule="exact"/>
              <w:jc w:val="center"/>
              <w:rPr>
                <w:rFonts w:hint="eastAsia" w:ascii="微软雅黑" w:hAnsi="微软雅黑" w:eastAsia="微软雅黑" w:cs="微软雅黑"/>
                <w:lang w:val="zh-CN" w:eastAsia="zh-CN"/>
              </w:rPr>
            </w:pPr>
            <w:r>
              <w:rPr>
                <w:rFonts w:hint="eastAsia" w:ascii="微软雅黑" w:hAnsi="微软雅黑" w:cs="微软雅黑"/>
                <w:lang w:val="en-US" w:eastAsia="zh-CN"/>
              </w:rPr>
              <w:t>5</w:t>
            </w:r>
          </w:p>
        </w:tc>
        <w:tc>
          <w:tcPr>
            <w:tcW w:w="444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9C339AB">
            <w:pPr>
              <w:spacing w:line="440" w:lineRule="exact"/>
              <w:rPr>
                <w:rFonts w:hint="eastAsia" w:ascii="微软雅黑" w:hAnsi="微软雅黑" w:cs="微软雅黑"/>
              </w:rPr>
            </w:pPr>
            <w:r>
              <w:rPr>
                <w:rFonts w:hint="eastAsia" w:ascii="微软雅黑" w:hAnsi="微软雅黑" w:cs="微软雅黑"/>
                <w:lang w:val="zh-CN"/>
              </w:rPr>
              <w:t>响应文件的完整性（</w:t>
            </w:r>
            <w:r>
              <w:rPr>
                <w:rFonts w:hint="eastAsia" w:ascii="微软雅黑" w:hAnsi="微软雅黑" w:cs="微软雅黑"/>
              </w:rPr>
              <w:t>1正2副1电子文件</w:t>
            </w:r>
            <w:r>
              <w:rPr>
                <w:rFonts w:hint="eastAsia" w:ascii="微软雅黑" w:hAnsi="微软雅黑" w:cs="微软雅黑"/>
                <w:lang w:val="zh-CN"/>
              </w:rPr>
              <w:t>）</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6D4AF40">
            <w:pPr>
              <w:spacing w:line="440" w:lineRule="exact"/>
              <w:rPr>
                <w:rFonts w:hint="eastAsia" w:ascii="微软雅黑" w:hAnsi="微软雅黑" w:cs="微软雅黑"/>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D6C7963">
            <w:pPr>
              <w:spacing w:line="440" w:lineRule="exact"/>
              <w:rPr>
                <w:rFonts w:hint="eastAsia" w:ascii="微软雅黑" w:hAnsi="微软雅黑" w:cs="微软雅黑"/>
                <w:lang w:val="zh-CN"/>
              </w:rPr>
            </w:pPr>
          </w:p>
        </w:tc>
      </w:tr>
      <w:tr w14:paraId="6478CF75">
        <w:tblPrEx>
          <w:tblCellMar>
            <w:top w:w="0" w:type="dxa"/>
            <w:left w:w="108" w:type="dxa"/>
            <w:bottom w:w="0" w:type="dxa"/>
            <w:right w:w="108" w:type="dxa"/>
          </w:tblCellMar>
        </w:tblPrEx>
        <w:trPr>
          <w:trHeight w:val="1" w:hRule="atLeast"/>
          <w:jc w:val="center"/>
        </w:trPr>
        <w:tc>
          <w:tcPr>
            <w:tcW w:w="1312"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B878852">
            <w:pPr>
              <w:spacing w:line="440" w:lineRule="exact"/>
              <w:jc w:val="center"/>
              <w:rPr>
                <w:rFonts w:hint="eastAsia" w:ascii="微软雅黑" w:hAnsi="微软雅黑" w:eastAsia="微软雅黑" w:cs="微软雅黑"/>
                <w:lang w:val="zh-CN" w:eastAsia="zh-CN"/>
              </w:rPr>
            </w:pPr>
            <w:r>
              <w:rPr>
                <w:rFonts w:hint="eastAsia" w:ascii="微软雅黑" w:hAnsi="微软雅黑" w:cs="微软雅黑"/>
                <w:lang w:val="en-US" w:eastAsia="zh-CN"/>
              </w:rPr>
              <w:t>6</w:t>
            </w:r>
          </w:p>
        </w:tc>
        <w:tc>
          <w:tcPr>
            <w:tcW w:w="444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D32AA9B">
            <w:pPr>
              <w:spacing w:line="440" w:lineRule="exact"/>
              <w:rPr>
                <w:rFonts w:hint="eastAsia" w:ascii="微软雅黑" w:hAnsi="微软雅黑" w:cs="微软雅黑"/>
                <w:lang w:val="zh-CN"/>
              </w:rPr>
            </w:pPr>
            <w:r>
              <w:rPr>
                <w:rFonts w:hint="eastAsia" w:ascii="微软雅黑" w:hAnsi="微软雅黑" w:cs="微软雅黑"/>
                <w:lang w:val="zh-CN"/>
              </w:rPr>
              <w:t>不存在重大负偏离</w:t>
            </w:r>
          </w:p>
        </w:tc>
        <w:tc>
          <w:tcPr>
            <w:tcW w:w="145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1502D75">
            <w:pPr>
              <w:spacing w:line="440" w:lineRule="exact"/>
              <w:rPr>
                <w:rFonts w:hint="eastAsia" w:ascii="微软雅黑" w:hAnsi="微软雅黑" w:cs="微软雅黑"/>
                <w:lang w:val="zh-CN"/>
              </w:rPr>
            </w:pPr>
          </w:p>
        </w:tc>
        <w:tc>
          <w:tcPr>
            <w:tcW w:w="144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1F0EB98">
            <w:pPr>
              <w:spacing w:line="440" w:lineRule="exact"/>
              <w:rPr>
                <w:rFonts w:hint="eastAsia" w:ascii="微软雅黑" w:hAnsi="微软雅黑" w:cs="微软雅黑"/>
                <w:lang w:val="zh-CN"/>
              </w:rPr>
            </w:pPr>
          </w:p>
        </w:tc>
      </w:tr>
    </w:tbl>
    <w:p w14:paraId="1D6EFB72">
      <w:pPr>
        <w:numPr>
          <w:ilvl w:val="0"/>
          <w:numId w:val="0"/>
        </w:numPr>
        <w:spacing w:line="420" w:lineRule="exact"/>
        <w:rPr>
          <w:rFonts w:hint="eastAsia" w:ascii="微软雅黑" w:hAnsi="微软雅黑" w:cs="微软雅黑"/>
          <w:b/>
          <w:bCs/>
          <w:lang w:eastAsia="zh-CN"/>
        </w:rPr>
      </w:pPr>
      <w:bookmarkStart w:id="0" w:name="_Hlk72848049"/>
    </w:p>
    <w:p w14:paraId="6E344BF3">
      <w:pPr>
        <w:numPr>
          <w:ilvl w:val="0"/>
          <w:numId w:val="0"/>
        </w:numPr>
        <w:spacing w:line="420" w:lineRule="exact"/>
        <w:rPr>
          <w:rFonts w:hint="eastAsia" w:ascii="微软雅黑" w:hAnsi="微软雅黑" w:cs="微软雅黑"/>
          <w:b/>
          <w:bCs/>
          <w:szCs w:val="21"/>
        </w:rPr>
      </w:pPr>
      <w:r>
        <w:rPr>
          <w:rFonts w:hint="eastAsia" w:ascii="微软雅黑" w:hAnsi="微软雅黑" w:cs="微软雅黑"/>
          <w:b/>
          <w:bCs/>
          <w:lang w:eastAsia="zh-CN"/>
        </w:rPr>
        <w:t>（</w:t>
      </w:r>
      <w:r>
        <w:rPr>
          <w:rFonts w:hint="eastAsia" w:ascii="微软雅黑" w:hAnsi="微软雅黑" w:cs="微软雅黑"/>
          <w:b/>
          <w:bCs/>
          <w:lang w:val="en-US" w:eastAsia="zh-CN"/>
        </w:rPr>
        <w:t>二</w:t>
      </w:r>
      <w:r>
        <w:rPr>
          <w:rFonts w:hint="eastAsia" w:ascii="微软雅黑" w:hAnsi="微软雅黑" w:cs="微软雅黑"/>
          <w:b/>
          <w:bCs/>
          <w:lang w:eastAsia="zh-CN"/>
        </w:rPr>
        <w:t>）</w:t>
      </w:r>
      <w:r>
        <w:rPr>
          <w:rFonts w:hint="eastAsia" w:ascii="微软雅黑" w:hAnsi="微软雅黑" w:cs="微软雅黑"/>
          <w:b/>
          <w:bCs/>
        </w:rPr>
        <w:t>评分因素及分值</w:t>
      </w:r>
    </w:p>
    <w:tbl>
      <w:tblPr>
        <w:tblStyle w:val="7"/>
        <w:tblpPr w:leftFromText="180" w:rightFromText="180" w:vertAnchor="text" w:horzAnchor="page" w:tblpX="1884" w:tblpY="872"/>
        <w:tblOverlap w:val="never"/>
        <w:tblW w:w="85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1208"/>
        <w:gridCol w:w="712"/>
        <w:gridCol w:w="648"/>
        <w:gridCol w:w="5520"/>
      </w:tblGrid>
      <w:tr w14:paraId="1484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13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D6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评审项目</w:t>
            </w: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BEC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616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D614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评审标准</w:t>
            </w:r>
          </w:p>
        </w:tc>
      </w:tr>
      <w:tr w14:paraId="1432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7F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6E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投标报价（20分）</w:t>
            </w: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0D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16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A8AB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分采用低价优先法计算，即满足采购文件要求且报价最低的供应商报价为评审基准价，其价格分为满分20分，其它响应供应商的价格分统一按照以下公式计算：响应报价得分=(评审基准价/该响应供应商的响应报价)×20分（保留小数点后两位）</w:t>
            </w:r>
          </w:p>
        </w:tc>
      </w:tr>
      <w:tr w14:paraId="0E34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5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B1EF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C5CD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（40分）</w:t>
            </w: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72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35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项目总体方案</w:t>
            </w:r>
          </w:p>
        </w:tc>
        <w:tc>
          <w:tcPr>
            <w:tcW w:w="5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23C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根据供应商对项目的理解，总体方案进行评分：符合项目实际、完整、详细明确，得10分；基本符合项目实际、较完整、详细，得6分；针对本项目工作内容的认识完整性一般，得2分；没有不得分。</w:t>
            </w:r>
          </w:p>
        </w:tc>
      </w:tr>
      <w:tr w14:paraId="262E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6BB9E5">
            <w:pPr>
              <w:jc w:val="center"/>
              <w:rPr>
                <w:rFonts w:hint="eastAsia" w:ascii="宋体" w:hAnsi="宋体" w:eastAsia="宋体" w:cs="宋体"/>
                <w:i w:val="0"/>
                <w:iCs w:val="0"/>
                <w:color w:val="000000"/>
                <w:sz w:val="24"/>
                <w:szCs w:val="24"/>
                <w:u w:val="none"/>
              </w:rPr>
            </w:pPr>
          </w:p>
        </w:tc>
        <w:tc>
          <w:tcPr>
            <w:tcW w:w="12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37FD88">
            <w:pPr>
              <w:jc w:val="center"/>
              <w:rPr>
                <w:rFonts w:hint="eastAsia" w:ascii="宋体" w:hAnsi="宋体" w:eastAsia="宋体" w:cs="宋体"/>
                <w:i w:val="0"/>
                <w:iCs w:val="0"/>
                <w:color w:val="000000"/>
                <w:sz w:val="24"/>
                <w:szCs w:val="24"/>
                <w:u w:val="none"/>
              </w:rPr>
            </w:pP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FF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3A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质量保证措施</w:t>
            </w:r>
          </w:p>
        </w:tc>
        <w:tc>
          <w:tcPr>
            <w:tcW w:w="5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322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根据供应商制定的项目质量保障措施进行评分：内容科学合理，切实可行，得10分；内容较为合理，可行，得6分；有相关内容，得2分；没有不得分。</w:t>
            </w:r>
          </w:p>
        </w:tc>
      </w:tr>
      <w:tr w14:paraId="246F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8E71E3">
            <w:pPr>
              <w:jc w:val="center"/>
              <w:rPr>
                <w:rFonts w:hint="eastAsia" w:ascii="宋体" w:hAnsi="宋体" w:eastAsia="宋体" w:cs="宋体"/>
                <w:i w:val="0"/>
                <w:iCs w:val="0"/>
                <w:color w:val="000000"/>
                <w:sz w:val="24"/>
                <w:szCs w:val="24"/>
                <w:u w:val="none"/>
              </w:rPr>
            </w:pPr>
          </w:p>
        </w:tc>
        <w:tc>
          <w:tcPr>
            <w:tcW w:w="12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AFA7A2">
            <w:pPr>
              <w:jc w:val="center"/>
              <w:rPr>
                <w:rFonts w:hint="eastAsia" w:ascii="宋体" w:hAnsi="宋体" w:eastAsia="宋体" w:cs="宋体"/>
                <w:i w:val="0"/>
                <w:iCs w:val="0"/>
                <w:color w:val="000000"/>
                <w:sz w:val="24"/>
                <w:szCs w:val="24"/>
                <w:u w:val="none"/>
              </w:rPr>
            </w:pP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52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A9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项目工作流程</w:t>
            </w:r>
          </w:p>
        </w:tc>
        <w:tc>
          <w:tcPr>
            <w:tcW w:w="5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C63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根据投标制定的项目组织架构、工作流程及人员职责分工进行评分：组织合理、分工明确，得10分；组织较合理、分工较明确，得6分；组织不合理、分工不明确，得2分；没有不得分。</w:t>
            </w:r>
          </w:p>
        </w:tc>
      </w:tr>
      <w:tr w14:paraId="1140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5A0C3F">
            <w:pPr>
              <w:jc w:val="center"/>
              <w:rPr>
                <w:rFonts w:hint="eastAsia" w:ascii="宋体" w:hAnsi="宋体" w:eastAsia="宋体" w:cs="宋体"/>
                <w:i w:val="0"/>
                <w:iCs w:val="0"/>
                <w:color w:val="000000"/>
                <w:sz w:val="24"/>
                <w:szCs w:val="24"/>
                <w:u w:val="none"/>
              </w:rPr>
            </w:pPr>
          </w:p>
        </w:tc>
        <w:tc>
          <w:tcPr>
            <w:tcW w:w="12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015A68">
            <w:pPr>
              <w:jc w:val="center"/>
              <w:rPr>
                <w:rFonts w:hint="eastAsia" w:ascii="宋体" w:hAnsi="宋体" w:eastAsia="宋体" w:cs="宋体"/>
                <w:i w:val="0"/>
                <w:iCs w:val="0"/>
                <w:color w:val="000000"/>
                <w:sz w:val="24"/>
                <w:szCs w:val="24"/>
                <w:u w:val="none"/>
              </w:rPr>
            </w:pP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A0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F7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项目审核要点</w:t>
            </w:r>
          </w:p>
        </w:tc>
        <w:tc>
          <w:tcPr>
            <w:tcW w:w="5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212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根据供应商对本项目重点难点的分析、对策，以及提出的合理化建议进行评分：符合项目实际、可行有效，得10分；基本可行、有效，得6分；效果一般，得2分；没有不得分。</w:t>
            </w:r>
          </w:p>
        </w:tc>
      </w:tr>
      <w:tr w14:paraId="5E6E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0" w:hRule="atLeast"/>
        </w:trPr>
        <w:tc>
          <w:tcPr>
            <w:tcW w:w="5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9726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5F0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履约能力（26分）</w:t>
            </w: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52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C0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5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62C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1.拟派的项目负责人具有工程类高级职称得3分，具有工程类中级及以上职称得1分，本项最多得3分；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2.拟派的项目负责人一级注册造价工程师注册时间满10年及以上得5分；注册时间满5年及以上得3分；注册时间不满5年得1分。（年限以执业资格证书上签发时间开始计算），本项最多得5分；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注：1、提供相关的证书等证明材料的复印件予以加盖投标人公章，否则不予计分，评审时证书须在有效期内，未在有效期内的不予认可。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2、项目负责人必须为投标公司员工，提供劳动合同复印件或者开标前6个月社保缴纳证明并加盖投标单位公章予以证明。 </w:t>
            </w:r>
          </w:p>
        </w:tc>
      </w:tr>
      <w:tr w14:paraId="45E1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7" w:hRule="atLeast"/>
        </w:trPr>
        <w:tc>
          <w:tcPr>
            <w:tcW w:w="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432F3C">
            <w:pPr>
              <w:jc w:val="center"/>
              <w:rPr>
                <w:rFonts w:hint="eastAsia" w:ascii="宋体" w:hAnsi="宋体" w:eastAsia="宋体" w:cs="宋体"/>
                <w:i w:val="0"/>
                <w:iCs w:val="0"/>
                <w:color w:val="000000"/>
                <w:sz w:val="24"/>
                <w:szCs w:val="24"/>
                <w:u w:val="none"/>
              </w:rPr>
            </w:pPr>
          </w:p>
        </w:tc>
        <w:tc>
          <w:tcPr>
            <w:tcW w:w="12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EF3F8E">
            <w:pPr>
              <w:jc w:val="center"/>
              <w:rPr>
                <w:rFonts w:hint="eastAsia" w:ascii="宋体" w:hAnsi="宋体" w:eastAsia="宋体" w:cs="宋体"/>
                <w:i w:val="0"/>
                <w:iCs w:val="0"/>
                <w:color w:val="000000"/>
                <w:sz w:val="24"/>
                <w:szCs w:val="24"/>
                <w:u w:val="none"/>
              </w:rPr>
            </w:pP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57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6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85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项目组成员</w:t>
            </w:r>
          </w:p>
        </w:tc>
        <w:tc>
          <w:tcPr>
            <w:tcW w:w="5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D02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项目组成员：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1.拟派项目组其他成员（不含项目负责人）不得少于2名注册造价师（其中土建专业不少于1名造价师，安装专业不少于1名造价师）。如拟派成员不满足此要求则此评分项不得分。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1.上述成员中具有工程类高级职称的，有1人得3分，具有工程类中级及以上职称的，有1人得1分，本项最多得6分。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2.拟派的项目组成员注册造价工程师注册时间满10年及以上得2分；注册时间满5年及以上得1分；注册时间不满5年不得分。（年限以执业资格证书上签发时间开始计算），本项最多得4分；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3.上述成员中同时具有其他国家级执业资格证书（如一级注册建造师、国家注册监理工程师、注册咨询工程师等）的得1分（每人最多计1分），本项最多2分。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注：1、提供相关的证书等证明材料的复印件予以证明，否则不予计分，评审时证书须在有效期内，未在有效期内的不予认可。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2、从事造价专业执业年限以取得执业资格证书时间为准。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供上述人员执业资格证书和职称证书、投标人为其交纳近期连续3个月社会保险证明（加盖社保中心章或社保中心参保缴费证明电子专用章的社保证明材料），社保中心参保缴费证明电子专用章的社保材料可视为原件。</w:t>
            </w:r>
          </w:p>
        </w:tc>
      </w:tr>
      <w:tr w14:paraId="16A5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5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CAFDD3">
            <w:pPr>
              <w:jc w:val="center"/>
              <w:rPr>
                <w:rFonts w:hint="eastAsia" w:ascii="宋体" w:hAnsi="宋体" w:eastAsia="宋体" w:cs="宋体"/>
                <w:i w:val="0"/>
                <w:iCs w:val="0"/>
                <w:color w:val="000000"/>
                <w:sz w:val="24"/>
                <w:szCs w:val="24"/>
                <w:u w:val="none"/>
              </w:rPr>
            </w:pPr>
          </w:p>
        </w:tc>
        <w:tc>
          <w:tcPr>
            <w:tcW w:w="12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2C13D5">
            <w:pPr>
              <w:jc w:val="center"/>
              <w:rPr>
                <w:rFonts w:hint="eastAsia" w:ascii="宋体" w:hAnsi="宋体" w:eastAsia="宋体" w:cs="宋体"/>
                <w:i w:val="0"/>
                <w:iCs w:val="0"/>
                <w:color w:val="000000"/>
                <w:sz w:val="24"/>
                <w:szCs w:val="24"/>
                <w:u w:val="none"/>
              </w:rPr>
            </w:pP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07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6A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相关业绩</w:t>
            </w:r>
          </w:p>
        </w:tc>
        <w:tc>
          <w:tcPr>
            <w:tcW w:w="5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E12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自2020年1月1日（含）以来承担过高校相关修缮工程竣工结算审计业务工作的，每提供一个得2分，最多得6分。（须提供合同复印件并加盖公章，证明文件内容须清晰可见项目内容，同一个采购单位视为一个业绩，未提供或信息不全者不得分，企业业绩与项目负责人业绩不可重复得分。）</w:t>
            </w:r>
          </w:p>
        </w:tc>
      </w:tr>
      <w:tr w14:paraId="66BB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73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C9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服务承诺（10分）</w:t>
            </w: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CF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6F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服务承诺</w:t>
            </w:r>
          </w:p>
        </w:tc>
        <w:tc>
          <w:tcPr>
            <w:tcW w:w="5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719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评标小组将量化指标建立在同一标准基础上，根据投标人对项目服务质量、数据结果准确性等服务承诺进行评审。</w:t>
            </w:r>
          </w:p>
        </w:tc>
      </w:tr>
      <w:tr w14:paraId="1DB6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5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B2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EE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（4分）</w:t>
            </w: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40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4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4D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供应商评价</w:t>
            </w:r>
          </w:p>
        </w:tc>
        <w:tc>
          <w:tcPr>
            <w:tcW w:w="552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302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投标人具有与行政事业单位合作经验并被供应商评价为优秀或表明对工作认可的资料，每一个得2分，共4分。同一供应商不重复得分。</w:t>
            </w:r>
          </w:p>
        </w:tc>
      </w:tr>
      <w:tr w14:paraId="63C5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71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A53957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总分</w:t>
            </w:r>
          </w:p>
        </w:tc>
        <w:tc>
          <w:tcPr>
            <w:tcW w:w="71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24C7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616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DA676F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bookmarkEnd w:id="0"/>
    </w:tbl>
    <w:p w14:paraId="6418268E">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YmFhMGVhY2NiYzUzM2QxMjZhN2Y1MjY2NjQ0NGIifQ=="/>
  </w:docVars>
  <w:rsids>
    <w:rsidRoot w:val="00000000"/>
    <w:rsid w:val="01E16AD2"/>
    <w:rsid w:val="07EA0E72"/>
    <w:rsid w:val="0B2709B4"/>
    <w:rsid w:val="11546D20"/>
    <w:rsid w:val="1E7F186F"/>
    <w:rsid w:val="1EF36406"/>
    <w:rsid w:val="3BBA2BE7"/>
    <w:rsid w:val="474A702D"/>
    <w:rsid w:val="48320349"/>
    <w:rsid w:val="4B9C55AC"/>
    <w:rsid w:val="51271DBC"/>
    <w:rsid w:val="55766E6E"/>
    <w:rsid w:val="6A885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4">
    <w:name w:val="heading 1"/>
    <w:basedOn w:val="1"/>
    <w:next w:val="1"/>
    <w:qFormat/>
    <w:uiPriority w:val="0"/>
    <w:pPr>
      <w:keepNext/>
      <w:keepLines/>
      <w:spacing w:before="340" w:after="330" w:line="240" w:lineRule="auto"/>
      <w:jc w:val="center"/>
      <w:outlineLvl w:val="0"/>
    </w:pPr>
    <w:rPr>
      <w:rFonts w:ascii="Calibri" w:hAnsi="Calibri"/>
      <w:b/>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napToGrid w:val="0"/>
      <w:spacing w:line="440" w:lineRule="exact"/>
      <w:ind w:firstLine="403" w:firstLineChars="192"/>
    </w:pPr>
    <w:rPr>
      <w:rFonts w:ascii="宋体" w:hAnsi="宋体" w:eastAsia="宋体"/>
      <w:kern w:val="0"/>
      <w:sz w:val="20"/>
      <w:szCs w:val="21"/>
    </w:rPr>
  </w:style>
  <w:style w:type="paragraph" w:styleId="3">
    <w:name w:val="envelope return"/>
    <w:basedOn w:val="1"/>
    <w:qFormat/>
    <w:uiPriority w:val="0"/>
    <w:pPr>
      <w:snapToGrid w:val="0"/>
    </w:pPr>
    <w:rPr>
      <w:rFonts w:ascii="Arial" w:hAnsi="Arial"/>
    </w:rPr>
  </w:style>
  <w:style w:type="paragraph" w:styleId="5">
    <w:name w:val="annotation text"/>
    <w:basedOn w:val="1"/>
    <w:semiHidden/>
    <w:qFormat/>
    <w:uiPriority w:val="0"/>
    <w:pPr>
      <w:jc w:val="left"/>
    </w:pPr>
    <w:rPr>
      <w:rFonts w:eastAsia="宋体"/>
      <w:kern w:val="0"/>
      <w:sz w:val="20"/>
      <w:szCs w:val="21"/>
    </w:rPr>
  </w:style>
  <w:style w:type="paragraph" w:styleId="6">
    <w:name w:val="Normal (Web)"/>
    <w:basedOn w:val="1"/>
    <w:qFormat/>
    <w:uiPriority w:val="0"/>
    <w:rPr>
      <w:sz w:val="24"/>
    </w:rPr>
  </w:style>
  <w:style w:type="paragraph" w:customStyle="1" w:styleId="9">
    <w:name w:val="Table Paragraph"/>
    <w:basedOn w:val="1"/>
    <w:qFormat/>
    <w:uiPriority w:val="1"/>
    <w:rPr>
      <w:rFonts w:ascii="宋体" w:hAnsi="宋体" w:eastAsia="宋体" w:cs="宋体"/>
      <w:lang w:val="zh-CN" w:eastAsia="zh-CN" w:bidi="zh-CN"/>
    </w:rPr>
  </w:style>
  <w:style w:type="character" w:customStyle="1" w:styleId="10">
    <w:name w:val="NormalCharacter"/>
    <w:semiHidden/>
    <w:qFormat/>
    <w:uiPriority w:val="0"/>
  </w:style>
  <w:style w:type="character" w:customStyle="1" w:styleId="11">
    <w:name w:val="font01"/>
    <w:basedOn w:val="8"/>
    <w:qFormat/>
    <w:uiPriority w:val="0"/>
    <w:rPr>
      <w:rFonts w:hint="eastAsia" w:ascii="宋体" w:hAnsi="宋体" w:eastAsia="宋体" w:cs="宋体"/>
      <w:color w:val="000000"/>
      <w:sz w:val="24"/>
      <w:szCs w:val="24"/>
      <w:u w:val="none"/>
    </w:rPr>
  </w:style>
  <w:style w:type="character" w:customStyle="1" w:styleId="12">
    <w:name w:val="font31"/>
    <w:basedOn w:val="8"/>
    <w:qFormat/>
    <w:uiPriority w:val="0"/>
    <w:rPr>
      <w:rFonts w:hint="eastAsia" w:ascii="微软雅黑" w:hAnsi="微软雅黑" w:eastAsia="微软雅黑" w:cs="微软雅黑"/>
      <w:color w:val="0000FF"/>
      <w:sz w:val="21"/>
      <w:szCs w:val="21"/>
      <w:u w:val="none"/>
    </w:rPr>
  </w:style>
  <w:style w:type="character" w:customStyle="1" w:styleId="13">
    <w:name w:val="font11"/>
    <w:basedOn w:val="8"/>
    <w:uiPriority w:val="0"/>
    <w:rPr>
      <w:rFonts w:hint="eastAsia" w:ascii="微软雅黑" w:hAnsi="微软雅黑" w:eastAsia="微软雅黑" w:cs="微软雅黑"/>
      <w:color w:val="000000"/>
      <w:sz w:val="21"/>
      <w:szCs w:val="21"/>
      <w:u w:val="none"/>
    </w:rPr>
  </w:style>
  <w:style w:type="character" w:customStyle="1" w:styleId="14">
    <w:name w:val="font41"/>
    <w:basedOn w:val="8"/>
    <w:qFormat/>
    <w:uiPriority w:val="0"/>
    <w:rPr>
      <w:rFonts w:hint="eastAsia" w:ascii="微软雅黑" w:hAnsi="微软雅黑" w:eastAsia="微软雅黑" w:cs="微软雅黑"/>
      <w:b/>
      <w:bCs/>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1918</Words>
  <Characters>1951</Characters>
  <Lines>0</Lines>
  <Paragraphs>0</Paragraphs>
  <TotalTime>4</TotalTime>
  <ScaleCrop>false</ScaleCrop>
  <LinksUpToDate>false</LinksUpToDate>
  <CharactersWithSpaces>1952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2024-06-20T08:35:00Z</dcterms:created>
  <dc:creator>Administrator</dc:creator>
  <cp:lastModifiedBy>CT</cp:lastModifiedBy>
  <cp:lastPrinted>2024-06-25T02:37:00Z</cp:lastPrinted>
  <dcterms:modified xsi:type="dcterms:W3CDTF">2025-10-29T07:36:35Z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16BC318D36C441E7ACAEC8118802A01F_13</vt:lpwstr>
  </property>
  <property fmtid="{D5CDD505-2E9C-101B-9397-08002B2CF9AE}" pid="4" name="KSOTemplateDocerSaveRecord">
    <vt:lpwstr>eyJoZGlkIjoiOWNlYmFhMGVhY2NiYzUzM2QxMjZhN2Y1MjY2NjQ0NGIiLCJ1c2VySWQiOiIxMzIwMTQ4Mzk2In0=</vt:lpwstr>
  </property>
</Properties>
</file>